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 xml:space="preserve">Group 2 – </w:t>
      </w:r>
      <w:proofErr w:type="spellStart"/>
      <w:r w:rsidRPr="00B8651E">
        <w:rPr>
          <w:rFonts w:asciiTheme="minorBidi" w:hAnsiTheme="minorBidi"/>
          <w:b/>
          <w:bCs/>
          <w:sz w:val="48"/>
          <w:szCs w:val="48"/>
        </w:rPr>
        <w:t>SafePath</w:t>
      </w:r>
      <w:proofErr w:type="spellEnd"/>
      <w:r w:rsidRPr="00B8651E">
        <w:rPr>
          <w:rFonts w:asciiTheme="minorBidi" w:hAnsiTheme="minorBidi"/>
          <w:b/>
          <w:bCs/>
          <w:sz w:val="48"/>
          <w:szCs w:val="48"/>
        </w:rPr>
        <w:t xml:space="preserve">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w:t>
      </w:r>
      <w:proofErr w:type="spellStart"/>
      <w:r w:rsidRPr="00B8651E">
        <w:rPr>
          <w:rFonts w:asciiTheme="minorBidi" w:hAnsiTheme="minorBidi"/>
          <w:sz w:val="22"/>
          <w:szCs w:val="22"/>
        </w:rPr>
        <w:t>SafetyCyclePath</w:t>
      </w:r>
      <w:proofErr w:type="spellEnd"/>
      <w:r w:rsidRPr="00B8651E">
        <w:rPr>
          <w:rFonts w:asciiTheme="minorBidi" w:hAnsiTheme="minorBidi"/>
          <w:sz w:val="22"/>
          <w:szCs w:val="22"/>
        </w:rPr>
        <w:t>" and then changed to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 xml:space="preserve">segment by combining this data. This will give them a useful way to see how safe a route is under the present conditions. The </w:t>
      </w:r>
      <w:proofErr w:type="spellStart"/>
      <w:r w:rsidRPr="00B8651E">
        <w:rPr>
          <w:rFonts w:asciiTheme="minorBidi" w:hAnsiTheme="minorBidi"/>
          <w:sz w:val="22"/>
          <w:szCs w:val="22"/>
        </w:rPr>
        <w:t>FindBuddy</w:t>
      </w:r>
      <w:proofErr w:type="spellEnd"/>
      <w:r w:rsidRPr="00B8651E">
        <w:rPr>
          <w:rFonts w:asciiTheme="minorBidi" w:hAnsiTheme="minorBidi"/>
          <w:sz w:val="22"/>
          <w:szCs w:val="22"/>
        </w:rPr>
        <w:t xml:space="preserve">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proofErr w:type="spellStart"/>
      <w:r w:rsidRPr="00185E71">
        <w:rPr>
          <w:rFonts w:asciiTheme="minorBidi" w:hAnsiTheme="minorBidi"/>
          <w:sz w:val="22"/>
          <w:szCs w:val="22"/>
        </w:rPr>
        <w:t>SafePath</w:t>
      </w:r>
      <w:proofErr w:type="spellEnd"/>
      <w:r w:rsidRPr="00185E71">
        <w:rPr>
          <w:rFonts w:asciiTheme="minorBidi" w:hAnsiTheme="minorBidi"/>
          <w:sz w:val="22"/>
          <w:szCs w:val="22"/>
        </w:rPr>
        <w:t xml:space="preserve">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proofErr w:type="spellStart"/>
      <w:r w:rsidRPr="00B8651E">
        <w:rPr>
          <w:rFonts w:asciiTheme="minorBidi" w:hAnsiTheme="minorBidi"/>
          <w:sz w:val="22"/>
        </w:rPr>
        <w:t>SafePath</w:t>
      </w:r>
      <w:proofErr w:type="spellEnd"/>
      <w:r w:rsidRPr="00B8651E">
        <w:rPr>
          <w:rFonts w:asciiTheme="minorBidi" w:hAnsiTheme="minorBidi"/>
          <w:sz w:val="22"/>
        </w:rPr>
        <w:t xml:space="preserve">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proofErr w:type="spellStart"/>
      <w:r w:rsidRPr="00CF24D7">
        <w:rPr>
          <w:rFonts w:asciiTheme="minorBidi" w:hAnsiTheme="minorBidi"/>
          <w:sz w:val="22"/>
          <w:szCs w:val="22"/>
        </w:rPr>
        <w:t>SafePath</w:t>
      </w:r>
      <w:proofErr w:type="spellEnd"/>
      <w:r w:rsidRPr="00CF24D7">
        <w:rPr>
          <w:rFonts w:asciiTheme="minorBidi" w:hAnsiTheme="minorBidi"/>
          <w:sz w:val="22"/>
          <w:szCs w:val="22"/>
        </w:rPr>
        <w:t xml:space="preserve">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proofErr w:type="spellStart"/>
      <w:r w:rsidRPr="00B8651E">
        <w:rPr>
          <w:rFonts w:asciiTheme="minorBidi" w:hAnsiTheme="minorBidi"/>
          <w:sz w:val="22"/>
        </w:rPr>
        <w:lastRenderedPageBreak/>
        <w:t>SafePath</w:t>
      </w:r>
      <w:proofErr w:type="spellEnd"/>
      <w:r w:rsidRPr="00B8651E">
        <w:rPr>
          <w:rFonts w:asciiTheme="minorBidi" w:hAnsiTheme="minorBidi"/>
          <w:sz w:val="22"/>
        </w:rPr>
        <w:t xml:space="preserve">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r>
      <w:proofErr w:type="spellStart"/>
      <w:r w:rsidRPr="0058643F">
        <w:rPr>
          <w:rFonts w:asciiTheme="minorBidi" w:hAnsiTheme="minorBidi"/>
          <w:sz w:val="22"/>
        </w:rPr>
        <w:t>SafePath</w:t>
      </w:r>
      <w:proofErr w:type="spellEnd"/>
      <w:r w:rsidRPr="0058643F">
        <w:rPr>
          <w:rFonts w:asciiTheme="minorBidi" w:hAnsiTheme="minorBidi"/>
          <w:sz w:val="22"/>
        </w:rPr>
        <w:t xml:space="preserve">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w:t>
      </w:r>
      <w:proofErr w:type="spellStart"/>
      <w:r w:rsidRPr="00B8651E">
        <w:rPr>
          <w:rFonts w:asciiTheme="minorBidi" w:hAnsiTheme="minorBidi"/>
          <w:sz w:val="22"/>
        </w:rPr>
        <w:t>SafePath's</w:t>
      </w:r>
      <w:proofErr w:type="spellEnd"/>
      <w:r w:rsidRPr="00B8651E">
        <w:rPr>
          <w:rFonts w:asciiTheme="minorBidi" w:hAnsiTheme="minorBidi"/>
          <w:sz w:val="22"/>
        </w:rPr>
        <w:t xml:space="preserve">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w:t>
      </w:r>
      <w:proofErr w:type="spellStart"/>
      <w:r w:rsidRPr="00B8651E">
        <w:rPr>
          <w:rFonts w:asciiTheme="minorBidi" w:hAnsiTheme="minorBidi"/>
          <w:sz w:val="22"/>
        </w:rPr>
        <w:t>SafePath's</w:t>
      </w:r>
      <w:proofErr w:type="spellEnd"/>
      <w:r w:rsidRPr="00B8651E">
        <w:rPr>
          <w:rFonts w:asciiTheme="minorBidi" w:hAnsiTheme="minorBidi"/>
          <w:sz w:val="22"/>
        </w:rPr>
        <w:t xml:space="preserve">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 xml:space="preserve">Most valuable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w:t>
      </w:r>
      <w:proofErr w:type="spellStart"/>
      <w:r w:rsidRPr="00B8651E">
        <w:rPr>
          <w:rFonts w:asciiTheme="minorBidi" w:hAnsiTheme="minorBidi"/>
          <w:lang w:val="en-US"/>
        </w:rPr>
        <w:t>SafePath</w:t>
      </w:r>
      <w:proofErr w:type="spellEnd"/>
      <w:r w:rsidRPr="00B8651E">
        <w:rPr>
          <w:rFonts w:asciiTheme="minorBidi" w:hAnsiTheme="minorBidi"/>
          <w:lang w:val="en-US"/>
        </w:rPr>
        <w:t xml:space="preserve">;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r>
      <w:proofErr w:type="spellStart"/>
      <w:r w:rsidRPr="00B8651E">
        <w:rPr>
          <w:rFonts w:asciiTheme="minorBidi" w:hAnsiTheme="minorBidi"/>
        </w:rPr>
        <w:t>SafePath</w:t>
      </w:r>
      <w:proofErr w:type="spellEnd"/>
      <w:r w:rsidRPr="00B8651E">
        <w:rPr>
          <w:rFonts w:asciiTheme="minorBidi" w:hAnsiTheme="minorBidi"/>
        </w:rPr>
        <w:t xml:space="preserve">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w:t>
      </w:r>
      <w:proofErr w:type="spellStart"/>
      <w:r w:rsidRPr="00B8651E">
        <w:rPr>
          <w:rFonts w:asciiTheme="minorBidi" w:hAnsiTheme="minorBidi"/>
          <w:sz w:val="22"/>
          <w:szCs w:val="22"/>
        </w:rPr>
        <w:t>SafePath</w:t>
      </w:r>
      <w:proofErr w:type="spellEnd"/>
      <w:r w:rsidRPr="00B8651E">
        <w:rPr>
          <w:rFonts w:asciiTheme="minorBidi" w:hAnsiTheme="minorBidi"/>
          <w:sz w:val="22"/>
          <w:szCs w:val="22"/>
        </w:rPr>
        <w:t xml:space="preserve">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proofErr w:type="spellStart"/>
      <w:r w:rsidR="00D0212C" w:rsidRPr="00B8651E">
        <w:rPr>
          <w:rFonts w:asciiTheme="minorBidi" w:hAnsiTheme="minorBidi"/>
          <w:sz w:val="22"/>
          <w:szCs w:val="22"/>
        </w:rPr>
        <w:t>SafePath</w:t>
      </w:r>
      <w:proofErr w:type="spellEnd"/>
      <w:r w:rsidR="00D0212C" w:rsidRPr="00B8651E">
        <w:rPr>
          <w:rFonts w:asciiTheme="minorBidi" w:hAnsiTheme="minorBidi"/>
          <w:sz w:val="22"/>
          <w:szCs w:val="22"/>
        </w:rPr>
        <w:t xml:space="preserve">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xml:space="preserve">. A static "fastest route" model can't deal with these changing exposures; </w:t>
      </w:r>
      <w:proofErr w:type="spellStart"/>
      <w:r w:rsidRPr="00B8651E">
        <w:rPr>
          <w:rFonts w:asciiTheme="minorBidi" w:hAnsiTheme="minorBidi"/>
          <w:sz w:val="22"/>
          <w:szCs w:val="22"/>
        </w:rPr>
        <w:t>SafePath's</w:t>
      </w:r>
      <w:proofErr w:type="spellEnd"/>
      <w:r w:rsidRPr="00B8651E">
        <w:rPr>
          <w:rFonts w:asciiTheme="minorBidi" w:hAnsiTheme="minorBidi"/>
          <w:sz w:val="22"/>
          <w:szCs w:val="22"/>
        </w:rPr>
        <w:t xml:space="preserve">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0485FC81" w14:textId="0558918C" w:rsidR="006F0674" w:rsidRPr="00D000E7" w:rsidRDefault="00487684" w:rsidP="00D000E7">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1E555313" w14:textId="77777777" w:rsidR="00D000E7" w:rsidRPr="00451761" w:rsidRDefault="00D000E7" w:rsidP="00D000E7">
      <w:pPr>
        <w:pStyle w:val="Heading1"/>
        <w:numPr>
          <w:ilvl w:val="0"/>
          <w:numId w:val="8"/>
        </w:numPr>
        <w:ind w:left="720"/>
        <w:rPr>
          <w:rFonts w:asciiTheme="minorBidi" w:eastAsia="Calibri" w:hAnsiTheme="minorBidi" w:cstheme="minorBidi"/>
          <w:b/>
        </w:rPr>
      </w:pPr>
      <w:r w:rsidRPr="00B8651E">
        <w:rPr>
          <w:rFonts w:asciiTheme="minorBidi" w:eastAsia="Calibri" w:hAnsiTheme="minorBidi" w:cstheme="minorBidi"/>
          <w:b/>
        </w:rPr>
        <w:t>Technical Solution</w:t>
      </w:r>
      <w:r>
        <w:rPr>
          <w:rFonts w:asciiTheme="minorBidi" w:eastAsia="Calibri" w:hAnsiTheme="minorBidi" w:cstheme="minorBidi"/>
          <w:b/>
        </w:rPr>
        <w:t xml:space="preserve"> - </w:t>
      </w:r>
      <w:r w:rsidRPr="00451761">
        <w:rPr>
          <w:b/>
          <w:bCs/>
          <w:lang w:val="en-US"/>
        </w:rPr>
        <w:t>The Plot</w:t>
      </w:r>
    </w:p>
    <w:p w14:paraId="4A60C164" w14:textId="77777777" w:rsidR="00D000E7" w:rsidRPr="00451761" w:rsidRDefault="00D000E7" w:rsidP="00D000E7">
      <w:pPr>
        <w:pStyle w:val="ListParagraph"/>
        <w:numPr>
          <w:ilvl w:val="1"/>
          <w:numId w:val="37"/>
        </w:numPr>
        <w:rPr>
          <w:b/>
          <w:bCs/>
          <w:lang w:val="en-US"/>
        </w:rPr>
      </w:pPr>
      <w:bookmarkStart w:id="19" w:name="_Toc212100885"/>
      <w:r w:rsidRPr="00451761">
        <w:rPr>
          <w:b/>
          <w:bCs/>
          <w:lang w:val="en-US"/>
        </w:rPr>
        <w:t>System Functionality</w:t>
      </w:r>
      <w:bookmarkEnd w:id="19"/>
    </w:p>
    <w:p w14:paraId="7CE7E9B9" w14:textId="77777777" w:rsidR="00D000E7" w:rsidRDefault="00D000E7" w:rsidP="00493F24">
      <w:pPr>
        <w:pStyle w:val="ListParagraph"/>
        <w:ind w:left="360"/>
        <w:jc w:val="both"/>
        <w:rPr>
          <w:lang w:val="en-US"/>
        </w:rPr>
      </w:pPr>
      <w:proofErr w:type="spellStart"/>
      <w:r w:rsidRPr="00451761">
        <w:rPr>
          <w:lang w:val="en-US"/>
        </w:rPr>
        <w:t>Safepath</w:t>
      </w:r>
      <w:proofErr w:type="spellEnd"/>
      <w:r w:rsidRPr="00451761">
        <w:rPr>
          <w:lang w:val="en-US"/>
        </w:rPr>
        <w:t xml:space="preserve"> is an all-in-one navigation system aimed at aiding pedestrians and cyclists in </w:t>
      </w:r>
      <w:r>
        <w:rPr>
          <w:lang w:val="en-US"/>
        </w:rPr>
        <w:t>London</w:t>
      </w:r>
      <w:r w:rsidRPr="00451761">
        <w:rPr>
          <w:lang w:val="en-US"/>
        </w:rPr>
        <w:t xml:space="preserve">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451761" w:rsidRDefault="00D000E7" w:rsidP="00D000E7">
      <w:pPr>
        <w:pStyle w:val="ListParagraph"/>
        <w:ind w:left="360"/>
        <w:rPr>
          <w:lang w:val="en-US"/>
        </w:rPr>
      </w:pPr>
    </w:p>
    <w:p w14:paraId="23E61A6A" w14:textId="77777777" w:rsidR="00D000E7" w:rsidRPr="00451761" w:rsidRDefault="00D000E7" w:rsidP="00D000E7">
      <w:pPr>
        <w:pStyle w:val="ListParagraph"/>
        <w:ind w:left="360"/>
        <w:rPr>
          <w:b/>
          <w:bCs/>
          <w:lang w:val="en-US"/>
        </w:rPr>
      </w:pPr>
      <w:bookmarkStart w:id="20" w:name="_Toc212100886"/>
      <w:r>
        <w:rPr>
          <w:b/>
          <w:bCs/>
          <w:lang w:val="en-US"/>
        </w:rPr>
        <w:t xml:space="preserve">4.2 </w:t>
      </w:r>
      <w:r w:rsidRPr="00451761">
        <w:rPr>
          <w:b/>
          <w:bCs/>
          <w:lang w:val="en-US"/>
        </w:rPr>
        <w:t>System Architecture and Algorithm</w:t>
      </w:r>
      <w:bookmarkEnd w:id="20"/>
    </w:p>
    <w:p w14:paraId="4D9019E4" w14:textId="77777777" w:rsidR="00D000E7" w:rsidRPr="00451761" w:rsidRDefault="00D000E7" w:rsidP="00493F24">
      <w:pPr>
        <w:pStyle w:val="ListParagraph"/>
        <w:ind w:left="360"/>
        <w:jc w:val="both"/>
        <w:rPr>
          <w:lang w:val="en-US"/>
        </w:rPr>
      </w:pPr>
      <w:r w:rsidRPr="00451761">
        <w:rPr>
          <w:lang w:val="en-US"/>
        </w:rPr>
        <w:t xml:space="preserve">The </w:t>
      </w:r>
      <w:proofErr w:type="spellStart"/>
      <w:r w:rsidRPr="00451761">
        <w:rPr>
          <w:lang w:val="en-US"/>
        </w:rPr>
        <w:t>Safepath</w:t>
      </w:r>
      <w:proofErr w:type="spellEnd"/>
      <w:r w:rsidRPr="00451761">
        <w:rPr>
          <w:lang w:val="en-US"/>
        </w:rPr>
        <w:t xml:space="preserve"> system is built on a complex architectural structure that </w:t>
      </w:r>
      <w:proofErr w:type="gramStart"/>
      <w:r w:rsidRPr="00451761">
        <w:rPr>
          <w:lang w:val="en-US"/>
        </w:rPr>
        <w:t>is capable of processing</w:t>
      </w:r>
      <w:proofErr w:type="gramEnd"/>
      <w:r w:rsidRPr="00451761">
        <w:rPr>
          <w:lang w:val="en-US"/>
        </w:rPr>
        <w:t xml:space="preserve">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the score of infrastructure quality depending on the presence of features like separated bicycle lanes and pedestrian crossings, and evaluates the danger of accidents with recent weighting of historical STATS19 data (Kang &amp; Kang, 2017).</w:t>
      </w:r>
    </w:p>
    <w:p w14:paraId="2C3E2150" w14:textId="77777777" w:rsidR="00D000E7" w:rsidRPr="00451761" w:rsidRDefault="00D000E7" w:rsidP="00D000E7">
      <w:pPr>
        <w:pStyle w:val="ListParagraph"/>
        <w:ind w:left="360"/>
        <w:rPr>
          <w:lang w:val="en-US"/>
        </w:rPr>
      </w:pPr>
      <w:bookmarkStart w:id="21" w:name="_Toc212100887"/>
      <w:r w:rsidRPr="00451761">
        <w:rPr>
          <w:b/>
          <w:bCs/>
          <w:lang w:val="en-US"/>
        </w:rPr>
        <w:t>Figure 3.1</w:t>
      </w:r>
      <w:r w:rsidRPr="00451761">
        <w:rPr>
          <w:lang w:val="en-US"/>
        </w:rPr>
        <w:t xml:space="preserve">: </w:t>
      </w:r>
      <w:proofErr w:type="spellStart"/>
      <w:r w:rsidRPr="00451761">
        <w:rPr>
          <w:i/>
          <w:iCs/>
          <w:lang w:val="en-US"/>
        </w:rPr>
        <w:t>Safepath</w:t>
      </w:r>
      <w:proofErr w:type="spellEnd"/>
      <w:r w:rsidRPr="00451761">
        <w:rPr>
          <w:i/>
          <w:iCs/>
          <w:lang w:val="en-US"/>
        </w:rPr>
        <w:t xml:space="preserve"> System Architecture Diagram (Detailed)</w:t>
      </w:r>
      <w:bookmarkEnd w:id="21"/>
    </w:p>
    <w:p w14:paraId="6690B99A" w14:textId="77777777" w:rsidR="00D000E7" w:rsidRDefault="00D000E7" w:rsidP="00493F24">
      <w:pPr>
        <w:pStyle w:val="ListParagraph"/>
        <w:ind w:left="360"/>
        <w:jc w:val="both"/>
        <w:rPr>
          <w:lang w:val="en-US"/>
        </w:rPr>
      </w:pPr>
      <w:r w:rsidRPr="009D50D8">
        <w:rPr>
          <w:noProof/>
          <w:lang w:val="en-US"/>
        </w:rPr>
        <w:lastRenderedPageBreak/>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r w:rsidRPr="00451761">
        <w:rPr>
          <w:b/>
          <w:bCs/>
          <w:lang w:val="en-US"/>
        </w:rPr>
        <w:t>Note.</w:t>
      </w:r>
      <w:r w:rsidRPr="00451761">
        <w:rPr>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451761" w:rsidRDefault="00D000E7" w:rsidP="00493F24">
      <w:pPr>
        <w:pStyle w:val="ListParagraph"/>
        <w:ind w:left="360"/>
        <w:jc w:val="both"/>
        <w:rPr>
          <w:lang w:val="en-US"/>
        </w:rPr>
      </w:pPr>
    </w:p>
    <w:p w14:paraId="33CA48A0" w14:textId="77777777" w:rsidR="00D000E7" w:rsidRDefault="00D000E7" w:rsidP="00493F24">
      <w:pPr>
        <w:pStyle w:val="ListParagraph"/>
        <w:ind w:left="360"/>
        <w:jc w:val="both"/>
        <w:rPr>
          <w:lang w:val="en-US"/>
        </w:rPr>
      </w:pPr>
      <w:r w:rsidRPr="00451761">
        <w:rPr>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7250DFF0" w14:textId="77777777" w:rsidR="00D000E7" w:rsidRDefault="00D000E7" w:rsidP="00D000E7">
      <w:pPr>
        <w:pStyle w:val="ListParagraph"/>
        <w:ind w:left="360"/>
        <w:rPr>
          <w:lang w:val="en-US"/>
        </w:rPr>
      </w:pPr>
    </w:p>
    <w:p w14:paraId="23ABF4C6" w14:textId="77777777" w:rsidR="00D000E7" w:rsidRPr="00451761" w:rsidRDefault="00D000E7" w:rsidP="00D000E7">
      <w:pPr>
        <w:pStyle w:val="ListParagraph"/>
        <w:ind w:left="360"/>
        <w:rPr>
          <w:lang w:val="en-US"/>
        </w:rPr>
      </w:pPr>
    </w:p>
    <w:p w14:paraId="16DA09B4" w14:textId="77777777" w:rsidR="00D000E7" w:rsidRPr="00451761" w:rsidRDefault="00D000E7" w:rsidP="00D000E7">
      <w:pPr>
        <w:pStyle w:val="ListParagraph"/>
        <w:ind w:left="360"/>
        <w:rPr>
          <w:lang w:val="en-US"/>
        </w:rPr>
      </w:pPr>
      <w:bookmarkStart w:id="22" w:name="_Toc212100888"/>
      <w:r w:rsidRPr="00451761">
        <w:rPr>
          <w:b/>
          <w:bCs/>
          <w:lang w:val="en-US"/>
        </w:rPr>
        <w:t>Figure 3.2:</w:t>
      </w:r>
      <w:r w:rsidRPr="00451761">
        <w:rPr>
          <w:lang w:val="en-US"/>
        </w:rPr>
        <w:t xml:space="preserve"> </w:t>
      </w:r>
      <w:r w:rsidRPr="00451761">
        <w:rPr>
          <w:i/>
          <w:iCs/>
          <w:lang w:val="en-US"/>
        </w:rPr>
        <w:t>Safety Scoring Algorithm Flowchart</w:t>
      </w:r>
      <w:bookmarkEnd w:id="22"/>
    </w:p>
    <w:p w14:paraId="45B2F397" w14:textId="77777777" w:rsidR="00D000E7" w:rsidRPr="00451761" w:rsidRDefault="00D000E7" w:rsidP="00D000E7">
      <w:pPr>
        <w:pStyle w:val="ListParagraph"/>
        <w:ind w:left="360"/>
        <w:jc w:val="center"/>
        <w:rPr>
          <w:lang w:val="en-US"/>
        </w:rPr>
      </w:pPr>
      <w:r w:rsidRPr="009D50D8">
        <w:rPr>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451761">
        <w:rPr>
          <w:b/>
          <w:bCs/>
          <w:i/>
          <w:iCs/>
          <w:lang w:val="en-US"/>
        </w:rPr>
        <w:t>Note.</w:t>
      </w:r>
      <w:r w:rsidRPr="00451761">
        <w:rPr>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D000E7" w:rsidRDefault="00D000E7" w:rsidP="00D000E7"/>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 xml:space="preserve">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w:t>
      </w:r>
      <w:proofErr w:type="spellStart"/>
      <w:r>
        <w:t>colors</w:t>
      </w:r>
      <w:proofErr w:type="spellEnd"/>
      <w:r>
        <w:t xml:space="preserve">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 xml:space="preserve">Note. Database schema using crow's foot notation to illustrate relationships. </w:t>
      </w:r>
      <w:proofErr w:type="spellStart"/>
      <w:r>
        <w:t>PostGIS</w:t>
      </w:r>
      <w:proofErr w:type="spellEnd"/>
      <w:r>
        <w:t xml:space="preserve">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6683"/>
      <w:r w:rsidRPr="00B8651E">
        <w:rPr>
          <w:rFonts w:asciiTheme="minorBidi" w:eastAsia="Calibri" w:hAnsiTheme="minorBidi" w:cstheme="minorBidi"/>
          <w:b/>
        </w:rPr>
        <w:t>Evaluation</w:t>
      </w:r>
      <w:bookmarkEnd w:id="23"/>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Default="00111178" w:rsidP="00EF7DB6">
      <w:pPr>
        <w:pStyle w:val="Heading1"/>
        <w:numPr>
          <w:ilvl w:val="0"/>
          <w:numId w:val="8"/>
        </w:numPr>
        <w:rPr>
          <w:rFonts w:asciiTheme="minorBidi" w:eastAsia="Calibri" w:hAnsiTheme="minorBidi" w:cstheme="minorBidi"/>
          <w:b/>
        </w:rPr>
      </w:pPr>
      <w:bookmarkStart w:id="24" w:name="_Toc212026684"/>
      <w:r w:rsidRPr="00B8651E">
        <w:rPr>
          <w:rFonts w:asciiTheme="minorBidi" w:eastAsia="Calibri" w:hAnsiTheme="minorBidi" w:cstheme="minorBidi"/>
          <w:b/>
        </w:rPr>
        <w:t>Conclusion</w:t>
      </w:r>
      <w:bookmarkEnd w:id="24"/>
    </w:p>
    <w:p w14:paraId="1F6857BA" w14:textId="63B3C13B" w:rsidR="00493F24" w:rsidRPr="00493F24" w:rsidRDefault="00493F24" w:rsidP="00493F24">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6.1 </w:t>
      </w:r>
      <w:r w:rsidRPr="00493F24">
        <w:rPr>
          <w:rFonts w:asciiTheme="minorBidi" w:eastAsiaTheme="minorHAnsi" w:hAnsiTheme="minorBidi" w:cstheme="minorBidi"/>
          <w:b/>
          <w:bCs/>
          <w:szCs w:val="28"/>
        </w:rPr>
        <w:t>Project Management Strategy</w:t>
      </w:r>
    </w:p>
    <w:p w14:paraId="6A321763" w14:textId="0188B694" w:rsidR="00493F24" w:rsidRDefault="00891247" w:rsidP="00493F24">
      <w:pPr>
        <w:jc w:val="both"/>
      </w:pPr>
      <w:r w:rsidRPr="00891247">
        <w:t xml:space="preserve">The </w:t>
      </w:r>
      <w:proofErr w:type="spellStart"/>
      <w:r w:rsidRPr="00891247">
        <w:t>Safepath</w:t>
      </w:r>
      <w:proofErr w:type="spellEnd"/>
      <w:r w:rsidRPr="00891247">
        <w:t xml:space="preserve"> project management plan is based on a structured, milestone-driven strategy with phases and deliverables clearly defined throughout a 14-week period. The methodology mixes Agile development and traditional project management to some extent, thus enabling iterative progress while still being answerable to major milestones (Marshall &amp; Ferenchak, 2019). The entire project is spread out into seven iterations of two weeks each, with each iteration being dedicated a certain task: weeks 1-2 for data collection and API configuration, </w:t>
      </w:r>
      <w:r w:rsidRPr="00891247">
        <w:lastRenderedPageBreak/>
        <w:t xml:space="preserve">weeks 3-4 for data merging and processing, weeks 5-6 for safety factor </w:t>
      </w:r>
      <w:proofErr w:type="spellStart"/>
      <w:r w:rsidRPr="00891247">
        <w:t>modeling</w:t>
      </w:r>
      <w:proofErr w:type="spellEnd"/>
      <w:r w:rsidRPr="00891247">
        <w:t>, weeks 7-8 for development of machine learning, weeks 9-10 for routing algorithm application, weeks 11-12 for user study conducting, and weeks 13-14 for statistical analysis and final report preparation.</w:t>
      </w:r>
    </w:p>
    <w:p w14:paraId="1EB82CE6" w14:textId="120CC319" w:rsidR="00493F24" w:rsidRDefault="00493F24" w:rsidP="00493F24">
      <w:r w:rsidRPr="00493F24">
        <w:rPr>
          <w:b/>
          <w:bCs/>
        </w:rPr>
        <w:t>Figure 5.1:</w:t>
      </w:r>
      <w:r>
        <w:t xml:space="preserve"> 14-Week Project Timeline (Gantt Chart)</w:t>
      </w:r>
    </w:p>
    <w:p w14:paraId="1A9F37AB" w14:textId="00348CE1" w:rsidR="00493F24" w:rsidRDefault="00493F24" w:rsidP="00493F24">
      <w:r>
        <w:t xml:space="preserve"> </w:t>
      </w:r>
      <w:r w:rsidR="00891247" w:rsidRPr="00B83953">
        <w:rPr>
          <w:rFonts w:ascii="Times New Roman" w:hAnsi="Times New Roman" w:cs="Times New Roman"/>
          <w:i/>
          <w:iCs/>
          <w:noProof/>
        </w:rPr>
        <w:drawing>
          <wp:inline distT="0" distB="0" distL="0" distR="0" wp14:anchorId="7B0D4543" wp14:editId="6C5B6F4A">
            <wp:extent cx="5270500" cy="1541734"/>
            <wp:effectExtent l="0" t="0" r="6350" b="1905"/>
            <wp:docPr id="1359127869" name="Picture 2" descr="A timelin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7869" name="Picture 2" descr="A timeline with numbers and lett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1541734"/>
                    </a:xfrm>
                    <a:prstGeom prst="rect">
                      <a:avLst/>
                    </a:prstGeom>
                  </pic:spPr>
                </pic:pic>
              </a:graphicData>
            </a:graphic>
          </wp:inline>
        </w:drawing>
      </w:r>
    </w:p>
    <w:p w14:paraId="2835415F" w14:textId="23ECF3FF" w:rsidR="00493F24" w:rsidRDefault="00891247" w:rsidP="00493F24">
      <w:pPr>
        <w:jc w:val="both"/>
      </w:pPr>
      <w:r w:rsidRPr="00891247">
        <w:t>Note. Project timeline with seven two-week sprints aligned Project schedule (September 19 - December 19, 2025). Milestone markers indicate critical deliverables including project plan submission, database population, interim report (35%), operational pipeline, trained ML models, functional routing system, final demonstration (65%), and completed final report.</w:t>
      </w:r>
    </w:p>
    <w:p w14:paraId="7E30C685" w14:textId="77777777" w:rsidR="00891247" w:rsidRDefault="00891247" w:rsidP="00493F24">
      <w:pPr>
        <w:jc w:val="both"/>
      </w:pPr>
    </w:p>
    <w:p w14:paraId="531D73F5" w14:textId="161B9CD1" w:rsidR="00493F24" w:rsidRDefault="00891247" w:rsidP="00493F24">
      <w:pPr>
        <w:jc w:val="both"/>
      </w:pPr>
      <w:r w:rsidRPr="00891247">
        <w:t>The phased method guarantees orderly advancement and at the same time it gives room to deal with the technical problems in the moment that they arise (Delling et al., 2017). The timeline incorporates regular assessments of progress, and specific milestones that include project plan submission by week finalized population with initial datasets by week 2, interim report and demonstration by week 6, an operational integrated data pipeline by week 4, validated safety scoring algorithms by week 6, trained and evaluated machine learning models by week 8, a functional routing system by week 10, completed user study data collection by week 12, final demonstration by week 13, and finalized statistical analysis and final report by week 14.</w:t>
      </w:r>
    </w:p>
    <w:p w14:paraId="47D48DB6" w14:textId="77777777" w:rsidR="00B02424" w:rsidRDefault="00B02424" w:rsidP="00493F24">
      <w:pPr>
        <w:jc w:val="both"/>
      </w:pPr>
    </w:p>
    <w:p w14:paraId="73885318" w14:textId="77777777" w:rsidR="00B02424" w:rsidRDefault="00B02424" w:rsidP="00493F24">
      <w:pPr>
        <w:jc w:val="both"/>
      </w:pPr>
    </w:p>
    <w:p w14:paraId="2D6B45D4" w14:textId="77777777" w:rsidR="00B02424" w:rsidRDefault="00B02424" w:rsidP="00493F24">
      <w:pPr>
        <w:jc w:val="both"/>
      </w:pPr>
    </w:p>
    <w:p w14:paraId="6C4F80C7" w14:textId="77777777" w:rsidR="00B02424" w:rsidRDefault="00B02424" w:rsidP="00493F24">
      <w:pPr>
        <w:jc w:val="both"/>
      </w:pPr>
    </w:p>
    <w:p w14:paraId="0CEBB02C" w14:textId="77777777" w:rsidR="00B02424" w:rsidRDefault="00B02424" w:rsidP="00493F24">
      <w:pPr>
        <w:jc w:val="both"/>
      </w:pPr>
    </w:p>
    <w:p w14:paraId="434B9A88" w14:textId="77777777" w:rsidR="00B02424" w:rsidRDefault="00B02424" w:rsidP="00493F24">
      <w:pPr>
        <w:jc w:val="both"/>
      </w:pPr>
    </w:p>
    <w:p w14:paraId="7D33BF43" w14:textId="77777777" w:rsidR="00B02424" w:rsidRDefault="00B02424" w:rsidP="00493F24">
      <w:pPr>
        <w:jc w:val="both"/>
      </w:pPr>
    </w:p>
    <w:p w14:paraId="198CCBC6" w14:textId="77777777" w:rsidR="00493F24" w:rsidRDefault="00493F24" w:rsidP="00493F24">
      <w:r w:rsidRPr="00493F24">
        <w:rPr>
          <w:b/>
          <w:bCs/>
        </w:rPr>
        <w:lastRenderedPageBreak/>
        <w:t>Figure 5.2:</w:t>
      </w:r>
      <w:r>
        <w:t xml:space="preserve"> Milestone Dependencies Network</w:t>
      </w:r>
    </w:p>
    <w:p w14:paraId="49722825" w14:textId="7473684C" w:rsidR="00493F24" w:rsidRDefault="00493F24" w:rsidP="00B02424">
      <w:pPr>
        <w:jc w:val="center"/>
      </w:pPr>
      <w:r>
        <w:rPr>
          <w:noProof/>
        </w:rPr>
        <w:drawing>
          <wp:inline distT="0" distB="0" distL="0" distR="0" wp14:anchorId="054F8A30" wp14:editId="1E11940B">
            <wp:extent cx="2034540" cy="3788410"/>
            <wp:effectExtent l="0" t="0" r="3810" b="2540"/>
            <wp:docPr id="1164315660" name="Picture 12" descr="A diagram of a data pre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5660" name="Picture 12" descr="A diagram of a data preposition&#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34540" cy="3788410"/>
                    </a:xfrm>
                    <a:prstGeom prst="rect">
                      <a:avLst/>
                    </a:prstGeom>
                  </pic:spPr>
                </pic:pic>
              </a:graphicData>
            </a:graphic>
          </wp:inline>
        </w:drawing>
      </w:r>
    </w:p>
    <w:p w14:paraId="3BD62ED7" w14:textId="3B7AFCA4" w:rsidR="00493F24" w:rsidRDefault="00493F24" w:rsidP="00493F24">
      <w:pPr>
        <w:jc w:val="both"/>
      </w:pPr>
      <w:r>
        <w:t>Note. Network diagram illustrating dependencies between major project milestones. The critical path (red) identifies activities that directly impact project completion, while parallel activities optimize resource utilization.</w:t>
      </w:r>
    </w:p>
    <w:p w14:paraId="13ED9BA0" w14:textId="77777777" w:rsidR="00141E84" w:rsidRDefault="00141E84" w:rsidP="00493F24">
      <w:pPr>
        <w:jc w:val="both"/>
      </w:pPr>
    </w:p>
    <w:p w14:paraId="28872738" w14:textId="77777777" w:rsidR="00141E84" w:rsidRDefault="00141E84" w:rsidP="00141E84">
      <w:pPr>
        <w:pStyle w:val="Heading2"/>
        <w:rPr>
          <w:rFonts w:ascii="Times New Roman" w:hAnsi="Times New Roman" w:cs="Times New Roman"/>
          <w:b/>
          <w:bCs/>
          <w:color w:val="auto"/>
          <w:sz w:val="24"/>
          <w:szCs w:val="24"/>
          <w:lang w:val="en-US"/>
        </w:rPr>
      </w:pPr>
      <w:bookmarkStart w:id="25" w:name="_Toc212100909"/>
      <w:r>
        <w:rPr>
          <w:rFonts w:ascii="Times New Roman" w:hAnsi="Times New Roman" w:cs="Times New Roman"/>
          <w:b/>
          <w:bCs/>
          <w:color w:val="auto"/>
          <w:sz w:val="24"/>
          <w:szCs w:val="24"/>
        </w:rPr>
        <w:t>Current Challenges</w:t>
      </w:r>
      <w:bookmarkEnd w:id="25"/>
    </w:p>
    <w:p w14:paraId="63F84A9C" w14:textId="77777777" w:rsidR="00141E84" w:rsidRDefault="00141E84" w:rsidP="00C27DC1">
      <w:pPr>
        <w:jc w:val="both"/>
        <w:rPr>
          <w:rFonts w:ascii="Times New Roman" w:hAnsi="Times New Roman" w:cs="Times New Roman"/>
        </w:rPr>
      </w:pPr>
      <w:r>
        <w:rPr>
          <w:rFonts w:ascii="Times New Roman" w:hAnsi="Times New Roman" w:cs="Times New Roman"/>
        </w:rPr>
        <w:t>At present, the most significant problems that the project is encountering are the complexity of data integration, the optimization of real-time performance, and the recruitment of users for the study. Heterogeneous data sources from 43 UK police departments, Transport for London, OpenStreetMap, and user surveys form the basis of the research, and the data normalization, spatial alignment, and temporal consistency are the areas that face the most significant challenges (Novack et al., 2024). The real-time route calculation that needs to be performed with sub-second response times while safety scores processing across thousands of route segments is going to require sophisticated algorithm optimization and caching strategies (Zhang et al., 2019).</w:t>
      </w:r>
    </w:p>
    <w:p w14:paraId="47533683" w14:textId="77777777" w:rsidR="00141E84" w:rsidRDefault="00141E84" w:rsidP="00141E84">
      <w:pPr>
        <w:pStyle w:val="Heading3"/>
        <w:rPr>
          <w:rFonts w:ascii="Times New Roman" w:hAnsi="Times New Roman" w:cs="Times New Roman"/>
          <w:color w:val="auto"/>
          <w:sz w:val="24"/>
          <w:szCs w:val="24"/>
        </w:rPr>
      </w:pPr>
      <w:bookmarkStart w:id="26" w:name="_Toc212100910"/>
      <w:r>
        <w:rPr>
          <w:rFonts w:ascii="Times New Roman" w:hAnsi="Times New Roman" w:cs="Times New Roman"/>
          <w:b w:val="0"/>
          <w:bCs w:val="0"/>
          <w:color w:val="auto"/>
          <w:sz w:val="24"/>
          <w:szCs w:val="24"/>
        </w:rPr>
        <w:lastRenderedPageBreak/>
        <w:t>Figure 5.3:</w:t>
      </w:r>
      <w:r>
        <w:rPr>
          <w:rFonts w:ascii="Times New Roman" w:hAnsi="Times New Roman" w:cs="Times New Roman"/>
          <w:color w:val="auto"/>
          <w:sz w:val="24"/>
          <w:szCs w:val="24"/>
        </w:rPr>
        <w:t xml:space="preserve"> </w:t>
      </w:r>
      <w:r>
        <w:rPr>
          <w:rFonts w:ascii="Times New Roman" w:hAnsi="Times New Roman" w:cs="Times New Roman"/>
          <w:i/>
          <w:iCs/>
          <w:color w:val="auto"/>
          <w:sz w:val="24"/>
          <w:szCs w:val="24"/>
        </w:rPr>
        <w:t>Risk Management Matrix</w:t>
      </w:r>
      <w:bookmarkEnd w:id="26"/>
    </w:p>
    <w:p w14:paraId="5E5F1262" w14:textId="43EBF596" w:rsidR="00141E84" w:rsidRDefault="00141E84" w:rsidP="00141E84">
      <w:pPr>
        <w:jc w:val="center"/>
        <w:rPr>
          <w:rFonts w:ascii="Times New Roman" w:hAnsi="Times New Roman" w:cs="Times New Roman"/>
          <w:i/>
          <w:iCs/>
        </w:rPr>
      </w:pPr>
      <w:r>
        <w:rPr>
          <w:rFonts w:ascii="Times New Roman" w:hAnsi="Times New Roman" w:cs="Times New Roman"/>
          <w:noProof/>
        </w:rPr>
        <w:drawing>
          <wp:inline distT="0" distB="0" distL="0" distR="0" wp14:anchorId="5E1D63B6" wp14:editId="4E39479E">
            <wp:extent cx="2430780" cy="3025140"/>
            <wp:effectExtent l="0" t="0" r="7620" b="3810"/>
            <wp:docPr id="1491286065" name="Picture 4"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6065" name="Picture 4" descr="A diagram of data analysi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0780" cy="3025140"/>
                    </a:xfrm>
                    <a:prstGeom prst="rect">
                      <a:avLst/>
                    </a:prstGeom>
                    <a:noFill/>
                    <a:ln>
                      <a:noFill/>
                    </a:ln>
                  </pic:spPr>
                </pic:pic>
              </a:graphicData>
            </a:graphic>
          </wp:inline>
        </w:drawing>
      </w:r>
    </w:p>
    <w:p w14:paraId="737FF722" w14:textId="77777777" w:rsidR="00B02424" w:rsidRDefault="00B02424" w:rsidP="00B02424">
      <w:pPr>
        <w:jc w:val="center"/>
        <w:rPr>
          <w:rFonts w:ascii="Times New Roman" w:hAnsi="Times New Roman" w:cs="Times New Roman"/>
          <w:lang w:val="en-US"/>
        </w:rPr>
      </w:pPr>
      <w:r>
        <w:rPr>
          <w:rFonts w:ascii="Times New Roman" w:hAnsi="Times New Roman" w:cs="Times New Roman"/>
          <w:b/>
          <w:bCs/>
          <w:i/>
          <w:iCs/>
        </w:rPr>
        <w:t>Note.</w:t>
      </w:r>
      <w:r>
        <w:rPr>
          <w:rFonts w:ascii="Times New Roman" w:hAnsi="Times New Roman" w:cs="Times New Roman"/>
        </w:rPr>
        <w:t> Risk assessment matrix prioritizing project challenges. High-impact, high-probability risks (red quadrant) receive immediate attention, while lower-priority risks are monitored throughout the project lifecycle.</w:t>
      </w:r>
    </w:p>
    <w:p w14:paraId="0F38D7D4" w14:textId="77777777" w:rsidR="00B02424" w:rsidRDefault="00B02424" w:rsidP="00C27DC1">
      <w:pPr>
        <w:jc w:val="both"/>
        <w:rPr>
          <w:rFonts w:ascii="Times New Roman" w:hAnsi="Times New Roman" w:cs="Times New Roman"/>
        </w:rPr>
      </w:pPr>
      <w:r>
        <w:rPr>
          <w:rFonts w:ascii="Times New Roman" w:hAnsi="Times New Roman" w:cs="Times New Roman"/>
        </w:rPr>
        <w:t>User study recruitment that is representative of the target user groups, i.e. pedestrians and cyclists of different age groups, genders and experience levels, is quite challenging logistically, especially when it comes to getting a big enough sample for valid statistical results (Sohrabi &amp; Lord, 2022). Moreover, having data up-to-date and at the same time conducting monthly updates from numerous sources need strong automated pipelines that can tackle data quality problems and format changes (Kang &amp; Kang, 2017).</w:t>
      </w:r>
    </w:p>
    <w:p w14:paraId="12BC98E4" w14:textId="77777777" w:rsidR="00B02424" w:rsidRDefault="00B02424" w:rsidP="00B02424">
      <w:pPr>
        <w:pStyle w:val="Heading2"/>
        <w:rPr>
          <w:rFonts w:ascii="Times New Roman" w:hAnsi="Times New Roman" w:cs="Times New Roman"/>
          <w:b/>
          <w:bCs/>
          <w:color w:val="auto"/>
          <w:sz w:val="24"/>
          <w:szCs w:val="24"/>
        </w:rPr>
      </w:pPr>
      <w:bookmarkStart w:id="27" w:name="_Toc212100911"/>
      <w:r>
        <w:rPr>
          <w:rFonts w:ascii="Times New Roman" w:hAnsi="Times New Roman" w:cs="Times New Roman"/>
          <w:b/>
          <w:bCs/>
          <w:color w:val="auto"/>
          <w:sz w:val="24"/>
          <w:szCs w:val="24"/>
        </w:rPr>
        <w:t>Timeline and Deliverables</w:t>
      </w:r>
      <w:bookmarkEnd w:id="27"/>
    </w:p>
    <w:p w14:paraId="68421122" w14:textId="77777777" w:rsidR="00B02424" w:rsidRDefault="00B02424" w:rsidP="00C27DC1">
      <w:pPr>
        <w:jc w:val="both"/>
        <w:rPr>
          <w:rFonts w:ascii="Times New Roman" w:hAnsi="Times New Roman" w:cs="Times New Roman"/>
        </w:rPr>
      </w:pPr>
      <w:r>
        <w:rPr>
          <w:rFonts w:ascii="Times New Roman" w:hAnsi="Times New Roman" w:cs="Times New Roman"/>
        </w:rPr>
        <w:t>For successful results with the remaining time, the project will give priority to the realization of the essential technical parts and at the same time, it will impose strict evaluation standards. The author will first develop the data integration pipeline and safety scoring algorithms, then proceed with the work on the modified A* routing algorithm with safety heuristics (Al-Omari et al., 2025). At the same time, the user study recruitment will start with outreach to cycling advocacy groups, university mailing lists, and social media platforms, aiming for a diverse pool of participants (Wang et al., 2016).</w:t>
      </w:r>
    </w:p>
    <w:p w14:paraId="1AD120C6" w14:textId="499828EE" w:rsidR="00B02424" w:rsidRDefault="00B02424" w:rsidP="00C27DC1">
      <w:pPr>
        <w:jc w:val="both"/>
        <w:rPr>
          <w:rFonts w:ascii="Times New Roman" w:hAnsi="Times New Roman" w:cs="Times New Roman"/>
          <w:i/>
          <w:iCs/>
        </w:rPr>
      </w:pPr>
      <w:r>
        <w:rPr>
          <w:rFonts w:ascii="Times New Roman" w:hAnsi="Times New Roman" w:cs="Times New Roman"/>
          <w:kern w:val="0"/>
          <w14:ligatures w14:val="none"/>
        </w:rPr>
        <w:t xml:space="preserve">The remaining timeline gives a space for comprehensive testing and improvement of every part separately before putting all of them together, with special focus on performance enhancement and user interface usability (Quercia et al., 2014). Continuous progress evaluations will keep the project on track with the milestone plan, and the last few days are reserved for technical issues that were not anticipated. This project management style, together with the constant focus on the important tasks, will </w:t>
      </w:r>
      <w:r>
        <w:rPr>
          <w:rFonts w:ascii="Times New Roman" w:hAnsi="Times New Roman" w:cs="Times New Roman"/>
          <w:kern w:val="0"/>
          <w14:ligatures w14:val="none"/>
        </w:rPr>
        <w:lastRenderedPageBreak/>
        <w:t>result in the delivery of a complete safety routing system that has undergone thorough assessment and that achieves the research goals (Zhu, 2022).</w:t>
      </w:r>
    </w:p>
    <w:p w14:paraId="3FA34DA1" w14:textId="77777777" w:rsidR="00141E84" w:rsidRPr="00493F24" w:rsidRDefault="00141E84" w:rsidP="00C27DC1">
      <w:pPr>
        <w:jc w:val="both"/>
      </w:pPr>
    </w:p>
    <w:p w14:paraId="471458A1" w14:textId="77777777" w:rsidR="00111178" w:rsidRPr="00B8651E" w:rsidRDefault="00111178" w:rsidP="00493F24">
      <w:pPr>
        <w:pStyle w:val="Heading1"/>
        <w:numPr>
          <w:ilvl w:val="0"/>
          <w:numId w:val="0"/>
        </w:numPr>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8" w:name="_Toc212026685"/>
      <w:r w:rsidRPr="00B8651E">
        <w:rPr>
          <w:rFonts w:asciiTheme="minorBidi" w:eastAsia="Calibri" w:hAnsiTheme="minorBidi" w:cstheme="minorBidi"/>
          <w:b/>
        </w:rPr>
        <w:t>References and Key Resources</w:t>
      </w:r>
      <w:bookmarkEnd w:id="28"/>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4AA45A82" w14:textId="0DD3B56B" w:rsidR="00FE41D9" w:rsidRDefault="00FE41D9" w:rsidP="00FE41D9">
      <w:pPr>
        <w:pStyle w:val="Bibentry"/>
        <w:rPr>
          <w:rFonts w:asciiTheme="minorBidi" w:hAnsiTheme="minorBidi"/>
          <w:sz w:val="20"/>
          <w:szCs w:val="20"/>
        </w:rPr>
      </w:pPr>
      <w:r w:rsidRPr="00FE41D9">
        <w:rPr>
          <w:rFonts w:asciiTheme="minorBidi" w:hAnsiTheme="minorBidi"/>
          <w:sz w:val="20"/>
          <w:szCs w:val="20"/>
        </w:rPr>
        <w:t xml:space="preserve">Quercia, D., </w:t>
      </w:r>
      <w:proofErr w:type="spellStart"/>
      <w:r w:rsidRPr="00FE41D9">
        <w:rPr>
          <w:rFonts w:asciiTheme="minorBidi" w:hAnsiTheme="minorBidi"/>
          <w:sz w:val="20"/>
          <w:szCs w:val="20"/>
        </w:rPr>
        <w:t>Schifanella</w:t>
      </w:r>
      <w:proofErr w:type="spellEnd"/>
      <w:r w:rsidRPr="00FE41D9">
        <w:rPr>
          <w:rFonts w:asciiTheme="minorBidi" w:hAnsiTheme="minorBidi"/>
          <w:sz w:val="20"/>
          <w:szCs w:val="20"/>
        </w:rPr>
        <w:t xml:space="preserve">, R., &amp; Aiello, L. M. (2014, September). The shortest path to happiness: Recommending beautiful, quiet, and happy routes in the city. In </w:t>
      </w:r>
      <w:r w:rsidRPr="00FE41D9">
        <w:rPr>
          <w:rFonts w:asciiTheme="minorBidi" w:hAnsiTheme="minorBidi"/>
          <w:i/>
          <w:iCs/>
          <w:sz w:val="20"/>
          <w:szCs w:val="20"/>
        </w:rPr>
        <w:t xml:space="preserve">Proceedings of the 25th ACM Conference on Hypertext and </w:t>
      </w:r>
      <w:proofErr w:type="gramStart"/>
      <w:r w:rsidRPr="00FE41D9">
        <w:rPr>
          <w:rFonts w:asciiTheme="minorBidi" w:hAnsiTheme="minorBidi"/>
          <w:i/>
          <w:iCs/>
          <w:sz w:val="20"/>
          <w:szCs w:val="20"/>
        </w:rPr>
        <w:t>Social Media</w:t>
      </w:r>
      <w:proofErr w:type="gramEnd"/>
      <w:r w:rsidRPr="00FE41D9">
        <w:rPr>
          <w:rFonts w:asciiTheme="minorBidi" w:hAnsiTheme="minorBidi"/>
          <w:i/>
          <w:iCs/>
          <w:sz w:val="20"/>
          <w:szCs w:val="20"/>
        </w:rPr>
        <w:t xml:space="preserve"> </w:t>
      </w:r>
      <w:r w:rsidRPr="00FE41D9">
        <w:rPr>
          <w:rFonts w:asciiTheme="minorBidi" w:hAnsiTheme="minorBidi"/>
          <w:sz w:val="20"/>
          <w:szCs w:val="20"/>
        </w:rPr>
        <w:t xml:space="preserve">(pp. 116-125). ACM. </w:t>
      </w:r>
      <w:hyperlink r:id="rId38" w:tgtFrame="_blank" w:history="1">
        <w:r w:rsidRPr="00FE41D9">
          <w:rPr>
            <w:rStyle w:val="Hyperlink"/>
            <w:rFonts w:asciiTheme="minorBidi" w:hAnsiTheme="minorBidi"/>
            <w:sz w:val="20"/>
            <w:szCs w:val="20"/>
            <w:lang w:val="en-US"/>
          </w:rPr>
          <w:t>https://doi.org/10.1145/2631775.2631799</w:t>
        </w:r>
      </w:hyperlink>
    </w:p>
    <w:p w14:paraId="0A1BF269" w14:textId="1E355180" w:rsidR="00FE41D9" w:rsidRDefault="00FE41D9" w:rsidP="00FE41D9">
      <w:pPr>
        <w:pStyle w:val="Bibentry"/>
        <w:rPr>
          <w:rFonts w:asciiTheme="minorBidi" w:hAnsiTheme="minorBidi"/>
          <w:sz w:val="20"/>
          <w:szCs w:val="20"/>
        </w:rPr>
      </w:pPr>
      <w:r w:rsidRPr="00FE41D9">
        <w:rPr>
          <w:rFonts w:asciiTheme="minorBidi" w:hAnsiTheme="minorBidi"/>
          <w:sz w:val="20"/>
          <w:szCs w:val="20"/>
        </w:rPr>
        <w:t xml:space="preserve">Marshall, W. E., &amp; Ferenchak, N. N. (2019). Why cities with high bicycling rates are safer for all road users. </w:t>
      </w:r>
      <w:r w:rsidRPr="00FE41D9">
        <w:rPr>
          <w:rFonts w:asciiTheme="minorBidi" w:hAnsiTheme="minorBidi"/>
          <w:i/>
          <w:iCs/>
          <w:sz w:val="20"/>
          <w:szCs w:val="20"/>
        </w:rPr>
        <w:t>Journal of Transport &amp; Health, 13,</w:t>
      </w:r>
      <w:r w:rsidRPr="00FE41D9">
        <w:rPr>
          <w:rFonts w:asciiTheme="minorBidi" w:hAnsiTheme="minorBidi"/>
          <w:sz w:val="20"/>
          <w:szCs w:val="20"/>
        </w:rPr>
        <w:t xml:space="preserve"> Article 100539. </w:t>
      </w:r>
      <w:hyperlink r:id="rId39" w:history="1">
        <w:r w:rsidRPr="00FE41D9">
          <w:rPr>
            <w:rStyle w:val="Hyperlink"/>
            <w:rFonts w:asciiTheme="minorBidi" w:hAnsiTheme="minorBidi"/>
            <w:sz w:val="20"/>
            <w:szCs w:val="20"/>
          </w:rPr>
          <w:t>https://doi.org/10.1016/j.jth.2019.03.004</w:t>
        </w:r>
      </w:hyperlink>
    </w:p>
    <w:p w14:paraId="38C79119" w14:textId="78DEEAD6" w:rsidR="00FE41D9" w:rsidRDefault="00FE41D9" w:rsidP="00FE41D9">
      <w:pPr>
        <w:pStyle w:val="Bibentry"/>
        <w:rPr>
          <w:rFonts w:asciiTheme="minorBidi" w:hAnsiTheme="minorBidi"/>
          <w:sz w:val="20"/>
          <w:szCs w:val="20"/>
        </w:rPr>
      </w:pPr>
      <w:r w:rsidRPr="00FE41D9">
        <w:rPr>
          <w:rFonts w:asciiTheme="minorBidi" w:hAnsiTheme="minorBidi"/>
          <w:sz w:val="20"/>
          <w:szCs w:val="20"/>
        </w:rPr>
        <w:t xml:space="preserve">Delling, D., Goldberg, A. V., Pajor, T., &amp; Werneck, R. F. (2017). Customizable route planning in road networks. </w:t>
      </w:r>
      <w:r w:rsidRPr="00FE41D9">
        <w:rPr>
          <w:rFonts w:asciiTheme="minorBidi" w:hAnsiTheme="minorBidi"/>
          <w:i/>
          <w:iCs/>
          <w:sz w:val="20"/>
          <w:szCs w:val="20"/>
        </w:rPr>
        <w:t>Transportation Science</w:t>
      </w:r>
      <w:r w:rsidRPr="00FE41D9">
        <w:rPr>
          <w:rFonts w:asciiTheme="minorBidi" w:hAnsiTheme="minorBidi"/>
          <w:sz w:val="20"/>
          <w:szCs w:val="20"/>
        </w:rPr>
        <w:t xml:space="preserve">, 51(2), 566-591. </w:t>
      </w:r>
      <w:hyperlink r:id="rId40" w:history="1">
        <w:r w:rsidRPr="00FE41D9">
          <w:rPr>
            <w:rStyle w:val="Hyperlink"/>
            <w:rFonts w:asciiTheme="minorBidi" w:hAnsiTheme="minorBidi"/>
            <w:sz w:val="20"/>
            <w:szCs w:val="20"/>
          </w:rPr>
          <w:t>https://doi.org/10.1287/trsc.2014.0579</w:t>
        </w:r>
      </w:hyperlink>
    </w:p>
    <w:p w14:paraId="3A9BDF90" w14:textId="0050F536" w:rsidR="00FE41D9" w:rsidRDefault="00FE41D9" w:rsidP="00FE41D9">
      <w:pPr>
        <w:pStyle w:val="Bibentry"/>
        <w:rPr>
          <w:rFonts w:asciiTheme="minorBidi" w:hAnsiTheme="minorBidi"/>
          <w:sz w:val="20"/>
          <w:szCs w:val="20"/>
        </w:rPr>
      </w:pPr>
      <w:r w:rsidRPr="00FE41D9">
        <w:rPr>
          <w:rFonts w:asciiTheme="minorBidi" w:hAnsiTheme="minorBidi"/>
          <w:sz w:val="20"/>
          <w:szCs w:val="20"/>
        </w:rPr>
        <w:lastRenderedPageBreak/>
        <w:t xml:space="preserve">Zhang, Y., Cheng, T., &amp; Ren, Y. (2019). A graph deep learning method for short-term traffic forecasting on large road networks. </w:t>
      </w:r>
      <w:r w:rsidRPr="00FE41D9">
        <w:rPr>
          <w:rFonts w:asciiTheme="minorBidi" w:hAnsiTheme="minorBidi"/>
          <w:i/>
          <w:iCs/>
          <w:sz w:val="20"/>
          <w:szCs w:val="20"/>
        </w:rPr>
        <w:t>Computer-Aided Civil and Infrastructure Engineering</w:t>
      </w:r>
      <w:r w:rsidRPr="00FE41D9">
        <w:rPr>
          <w:rFonts w:asciiTheme="minorBidi" w:hAnsiTheme="minorBidi"/>
          <w:sz w:val="20"/>
          <w:szCs w:val="20"/>
        </w:rPr>
        <w:t xml:space="preserve">, 34(10), 877-896. </w:t>
      </w:r>
      <w:hyperlink r:id="rId41" w:history="1">
        <w:r w:rsidRPr="00FE41D9">
          <w:rPr>
            <w:rStyle w:val="Hyperlink"/>
            <w:rFonts w:asciiTheme="minorBidi" w:hAnsiTheme="minorBidi"/>
            <w:sz w:val="20"/>
            <w:szCs w:val="20"/>
          </w:rPr>
          <w:t>https://doi.org/10.1111/mice.12450</w:t>
        </w:r>
      </w:hyperlink>
    </w:p>
    <w:p w14:paraId="556E3AB2" w14:textId="2E2DBC8A" w:rsidR="00FE41D9" w:rsidRDefault="00FE41D9" w:rsidP="00FE41D9">
      <w:pPr>
        <w:pStyle w:val="Bibentry"/>
        <w:rPr>
          <w:rFonts w:asciiTheme="minorBidi" w:hAnsiTheme="minorBidi"/>
          <w:sz w:val="20"/>
          <w:szCs w:val="20"/>
        </w:rPr>
      </w:pPr>
      <w:r w:rsidRPr="00FE41D9">
        <w:rPr>
          <w:rFonts w:asciiTheme="minorBidi" w:hAnsiTheme="minorBidi"/>
          <w:sz w:val="20"/>
          <w:szCs w:val="20"/>
        </w:rPr>
        <w:t xml:space="preserve">Agarwal, K., Srivastava, A., Sharma, K., Satapathy, S. K., Cho, S. B., Mishra, S., &amp; Pal, A. (2024). </w:t>
      </w:r>
      <w:proofErr w:type="spellStart"/>
      <w:r w:rsidRPr="00FE41D9">
        <w:rPr>
          <w:rFonts w:asciiTheme="minorBidi" w:hAnsiTheme="minorBidi"/>
          <w:sz w:val="20"/>
          <w:szCs w:val="20"/>
        </w:rPr>
        <w:t>SafeRoutes</w:t>
      </w:r>
      <w:proofErr w:type="spellEnd"/>
      <w:r w:rsidRPr="00FE41D9">
        <w:rPr>
          <w:rFonts w:asciiTheme="minorBidi" w:hAnsiTheme="minorBidi"/>
          <w:sz w:val="20"/>
          <w:szCs w:val="20"/>
        </w:rPr>
        <w:t xml:space="preserve">: Charting a secure path—A holistic approach to women's safety through advanced clustering and GPS integration. </w:t>
      </w:r>
      <w:r w:rsidRPr="00FE41D9">
        <w:rPr>
          <w:rFonts w:asciiTheme="minorBidi" w:hAnsiTheme="minorBidi"/>
          <w:i/>
          <w:iCs/>
          <w:sz w:val="20"/>
          <w:szCs w:val="20"/>
        </w:rPr>
        <w:t>IEEE Access</w:t>
      </w:r>
      <w:r w:rsidRPr="00FE41D9">
        <w:rPr>
          <w:rFonts w:asciiTheme="minorBidi" w:hAnsiTheme="minorBidi"/>
          <w:sz w:val="20"/>
          <w:szCs w:val="20"/>
        </w:rPr>
        <w:t xml:space="preserve">, 12, 167824-167841. </w:t>
      </w:r>
      <w:hyperlink r:id="rId42" w:history="1">
        <w:r w:rsidRPr="00FE41D9">
          <w:rPr>
            <w:rStyle w:val="Hyperlink"/>
            <w:rFonts w:asciiTheme="minorBidi" w:hAnsiTheme="minorBidi"/>
            <w:sz w:val="20"/>
            <w:szCs w:val="20"/>
          </w:rPr>
          <w:t>https://doi.org/10.1109/ACCESS.2024.3488784</w:t>
        </w:r>
      </w:hyperlink>
    </w:p>
    <w:p w14:paraId="3966D168" w14:textId="2B3C2172" w:rsidR="00FE41D9" w:rsidRDefault="00FE41D9" w:rsidP="00FE41D9">
      <w:pPr>
        <w:pStyle w:val="Bibentry"/>
        <w:rPr>
          <w:rFonts w:asciiTheme="minorBidi" w:hAnsiTheme="minorBidi"/>
          <w:sz w:val="20"/>
          <w:szCs w:val="20"/>
        </w:rPr>
      </w:pPr>
      <w:r w:rsidRPr="00FE41D9">
        <w:rPr>
          <w:rFonts w:asciiTheme="minorBidi" w:hAnsiTheme="minorBidi"/>
          <w:sz w:val="20"/>
          <w:szCs w:val="20"/>
        </w:rPr>
        <w:t xml:space="preserve">Garg, S., Mittal, A., &amp; </w:t>
      </w:r>
      <w:proofErr w:type="spellStart"/>
      <w:r w:rsidRPr="00FE41D9">
        <w:rPr>
          <w:rFonts w:asciiTheme="minorBidi" w:hAnsiTheme="minorBidi"/>
          <w:sz w:val="20"/>
          <w:szCs w:val="20"/>
        </w:rPr>
        <w:t>Sathiyasuntharam</w:t>
      </w:r>
      <w:proofErr w:type="spellEnd"/>
      <w:r w:rsidRPr="00FE41D9">
        <w:rPr>
          <w:rFonts w:asciiTheme="minorBidi" w:hAnsiTheme="minorBidi"/>
          <w:sz w:val="20"/>
          <w:szCs w:val="20"/>
        </w:rPr>
        <w:t xml:space="preserve">, V. (2025, February). Deep </w:t>
      </w:r>
      <w:proofErr w:type="gramStart"/>
      <w:r w:rsidRPr="00FE41D9">
        <w:rPr>
          <w:rFonts w:asciiTheme="minorBidi" w:hAnsiTheme="minorBidi"/>
          <w:sz w:val="20"/>
          <w:szCs w:val="20"/>
        </w:rPr>
        <w:t>learning based</w:t>
      </w:r>
      <w:proofErr w:type="gramEnd"/>
      <w:r w:rsidRPr="00FE41D9">
        <w:rPr>
          <w:rFonts w:asciiTheme="minorBidi" w:hAnsiTheme="minorBidi"/>
          <w:sz w:val="20"/>
          <w:szCs w:val="20"/>
        </w:rPr>
        <w:t xml:space="preserve"> model to recommend safe route navigation system. In </w:t>
      </w:r>
      <w:r w:rsidRPr="00FE41D9">
        <w:rPr>
          <w:rFonts w:asciiTheme="minorBidi" w:hAnsiTheme="minorBidi"/>
          <w:i/>
          <w:iCs/>
          <w:sz w:val="20"/>
          <w:szCs w:val="20"/>
        </w:rPr>
        <w:t>2025 2nd International Conference on Computational Intelligence, Communication Technology and Networking (CICTN)</w:t>
      </w:r>
      <w:r w:rsidRPr="00FE41D9">
        <w:rPr>
          <w:rFonts w:asciiTheme="minorBidi" w:hAnsiTheme="minorBidi"/>
          <w:sz w:val="20"/>
          <w:szCs w:val="20"/>
        </w:rPr>
        <w:t xml:space="preserve"> (pp. 181-186). IEEE. </w:t>
      </w:r>
      <w:hyperlink r:id="rId43" w:history="1">
        <w:r w:rsidRPr="00FE41D9">
          <w:rPr>
            <w:rStyle w:val="Hyperlink"/>
            <w:rFonts w:asciiTheme="minorBidi" w:hAnsiTheme="minorBidi"/>
            <w:sz w:val="20"/>
            <w:szCs w:val="20"/>
          </w:rPr>
          <w:t>https://doi.org/10.1109/CICTN64563.2025.10932570</w:t>
        </w:r>
      </w:hyperlink>
    </w:p>
    <w:p w14:paraId="5A2BE07E" w14:textId="52784DA1" w:rsidR="00FE41D9" w:rsidRDefault="009808F9" w:rsidP="00FE41D9">
      <w:pPr>
        <w:pStyle w:val="Bibentry"/>
        <w:rPr>
          <w:rFonts w:asciiTheme="minorBidi" w:hAnsiTheme="minorBidi"/>
          <w:sz w:val="20"/>
          <w:szCs w:val="20"/>
        </w:rPr>
      </w:pPr>
      <w:r w:rsidRPr="009808F9">
        <w:rPr>
          <w:rFonts w:asciiTheme="minorBidi" w:hAnsiTheme="minorBidi"/>
          <w:sz w:val="20"/>
          <w:szCs w:val="20"/>
        </w:rPr>
        <w:t xml:space="preserve">Zhu, S. (2022). Multi-objective route planning problem for cycle-tourists. </w:t>
      </w:r>
      <w:r w:rsidRPr="009808F9">
        <w:rPr>
          <w:rFonts w:asciiTheme="minorBidi" w:hAnsiTheme="minorBidi"/>
          <w:i/>
          <w:iCs/>
          <w:sz w:val="20"/>
          <w:szCs w:val="20"/>
        </w:rPr>
        <w:t>Transportation Letters</w:t>
      </w:r>
      <w:r w:rsidRPr="009808F9">
        <w:rPr>
          <w:rFonts w:asciiTheme="minorBidi" w:hAnsiTheme="minorBidi"/>
          <w:sz w:val="20"/>
          <w:szCs w:val="20"/>
        </w:rPr>
        <w:t>, 14(3), 298-306. https://doi.org/10.1080/19427867.2020.1860355</w:t>
      </w:r>
    </w:p>
    <w:p w14:paraId="25B0954A" w14:textId="77777777" w:rsidR="00FE41D9" w:rsidRPr="00FE41D9" w:rsidRDefault="00FE41D9" w:rsidP="00FE41D9">
      <w:pPr>
        <w:pStyle w:val="Bibentry"/>
        <w:numPr>
          <w:ilvl w:val="0"/>
          <w:numId w:val="0"/>
        </w:numPr>
        <w:ind w:left="720" w:hanging="360"/>
        <w:rPr>
          <w:rFonts w:asciiTheme="minorBidi" w:hAnsiTheme="minorBidi"/>
          <w:sz w:val="20"/>
          <w:szCs w:val="20"/>
        </w:rPr>
      </w:pP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9" w:name="_Toc212026686"/>
      <w:r w:rsidRPr="00B8651E">
        <w:rPr>
          <w:rFonts w:asciiTheme="minorBidi" w:eastAsia="Calibri" w:hAnsiTheme="minorBidi" w:cstheme="minorBidi"/>
          <w:b/>
        </w:rPr>
        <w:t>Appendix</w:t>
      </w:r>
      <w:bookmarkEnd w:id="29"/>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30" w:name="_Toc212026687"/>
      <w:r w:rsidRPr="00B8651E">
        <w:rPr>
          <w:rFonts w:asciiTheme="minorBidi" w:hAnsiTheme="minorBidi" w:cstheme="minorBidi"/>
          <w:color w:val="BFBFBF" w:themeColor="background1" w:themeShade="BF"/>
        </w:rPr>
        <w:t>1. User Scenario: The Characters (500 words approx.)</w:t>
      </w:r>
      <w:bookmarkEnd w:id="30"/>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31"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31"/>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32" w:name="_Toc212026689"/>
      <w:r w:rsidRPr="00B8651E">
        <w:rPr>
          <w:rFonts w:asciiTheme="minorBidi" w:hAnsiTheme="minorBidi" w:cstheme="minorBidi"/>
          <w:color w:val="BFBFBF" w:themeColor="background1" w:themeShade="BF"/>
        </w:rPr>
        <w:t>3. Technical Solution: The Plot (1,000 words approx.)</w:t>
      </w:r>
      <w:bookmarkEnd w:id="32"/>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33" w:name="_Toc212026690"/>
      <w:r w:rsidRPr="00B8651E">
        <w:rPr>
          <w:rFonts w:asciiTheme="minorBidi" w:hAnsiTheme="minorBidi" w:cstheme="minorBidi"/>
          <w:color w:val="BFBFBF" w:themeColor="background1" w:themeShade="BF"/>
        </w:rPr>
        <w:t>4. Evaluation: The Reviews (500 words approx.)</w:t>
      </w:r>
      <w:bookmarkEnd w:id="33"/>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34" w:name="_Toc212026691"/>
      <w:bookmarkEnd w:id="34"/>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5" w:name="_Toc212026692"/>
      <w:r w:rsidRPr="00B8651E">
        <w:rPr>
          <w:rFonts w:asciiTheme="minorBidi" w:hAnsiTheme="minorBidi" w:cstheme="minorBidi"/>
          <w:color w:val="BFBFBF" w:themeColor="background1" w:themeShade="BF"/>
        </w:rPr>
        <w:t>5. Conclusion: The Plan (500 words approx.)</w:t>
      </w:r>
      <w:bookmarkEnd w:id="35"/>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6" w:name="_Toc212026693"/>
      <w:r w:rsidRPr="00B8651E">
        <w:rPr>
          <w:rFonts w:asciiTheme="minorBidi" w:hAnsiTheme="minorBidi" w:cstheme="minorBidi"/>
          <w:color w:val="BFBFBF" w:themeColor="background1" w:themeShade="BF"/>
        </w:rPr>
        <w:t>6. References and Key Resources</w:t>
      </w:r>
      <w:bookmarkEnd w:id="36"/>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98715" w14:textId="77777777" w:rsidR="009E5A16" w:rsidRDefault="009E5A16" w:rsidP="00D91699">
      <w:r>
        <w:separator/>
      </w:r>
    </w:p>
  </w:endnote>
  <w:endnote w:type="continuationSeparator" w:id="0">
    <w:p w14:paraId="0B93A667" w14:textId="77777777" w:rsidR="009E5A16" w:rsidRDefault="009E5A16"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7A55F" w14:textId="77777777" w:rsidR="009E5A16" w:rsidRDefault="009E5A16" w:rsidP="00D91699">
      <w:r>
        <w:separator/>
      </w:r>
    </w:p>
  </w:footnote>
  <w:footnote w:type="continuationSeparator" w:id="0">
    <w:p w14:paraId="589BE0AA" w14:textId="77777777" w:rsidR="009E5A16" w:rsidRDefault="009E5A16"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6"/>
  </w:num>
  <w:num w:numId="2" w16cid:durableId="2059819155">
    <w:abstractNumId w:val="17"/>
  </w:num>
  <w:num w:numId="3" w16cid:durableId="1728719801">
    <w:abstractNumId w:val="22"/>
  </w:num>
  <w:num w:numId="4" w16cid:durableId="1618832709">
    <w:abstractNumId w:val="7"/>
  </w:num>
  <w:num w:numId="5" w16cid:durableId="1995180547">
    <w:abstractNumId w:val="6"/>
  </w:num>
  <w:num w:numId="6" w16cid:durableId="1315717181">
    <w:abstractNumId w:val="10"/>
  </w:num>
  <w:num w:numId="7" w16cid:durableId="845562717">
    <w:abstractNumId w:val="21"/>
  </w:num>
  <w:num w:numId="8" w16cid:durableId="463041083">
    <w:abstractNumId w:val="9"/>
  </w:num>
  <w:num w:numId="9" w16cid:durableId="1609776979">
    <w:abstractNumId w:val="2"/>
  </w:num>
  <w:num w:numId="10" w16cid:durableId="91702626">
    <w:abstractNumId w:val="24"/>
  </w:num>
  <w:num w:numId="11" w16cid:durableId="694578329">
    <w:abstractNumId w:val="0"/>
  </w:num>
  <w:num w:numId="12" w16cid:durableId="1739401741">
    <w:abstractNumId w:val="3"/>
  </w:num>
  <w:num w:numId="13" w16cid:durableId="1935090154">
    <w:abstractNumId w:val="5"/>
  </w:num>
  <w:num w:numId="14" w16cid:durableId="853301054">
    <w:abstractNumId w:val="14"/>
  </w:num>
  <w:num w:numId="15" w16cid:durableId="895555731">
    <w:abstractNumId w:val="1"/>
  </w:num>
  <w:num w:numId="16" w16cid:durableId="1002007180">
    <w:abstractNumId w:val="12"/>
  </w:num>
  <w:num w:numId="17" w16cid:durableId="833181418">
    <w:abstractNumId w:val="4"/>
  </w:num>
  <w:num w:numId="18" w16cid:durableId="1514756741">
    <w:abstractNumId w:val="18"/>
  </w:num>
  <w:num w:numId="19" w16cid:durableId="944462391">
    <w:abstractNumId w:val="1"/>
  </w:num>
  <w:num w:numId="20" w16cid:durableId="1368523785">
    <w:abstractNumId w:val="19"/>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3"/>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0"/>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5"/>
  </w:num>
  <w:num w:numId="33" w16cid:durableId="1220479878">
    <w:abstractNumId w:val="1"/>
  </w:num>
  <w:num w:numId="34" w16cid:durableId="303848796">
    <w:abstractNumId w:val="1"/>
  </w:num>
  <w:num w:numId="35" w16cid:durableId="1518303557">
    <w:abstractNumId w:val="1"/>
  </w:num>
  <w:num w:numId="36" w16cid:durableId="1459377015">
    <w:abstractNumId w:val="11"/>
  </w:num>
  <w:num w:numId="37" w16cid:durableId="276106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1E84"/>
    <w:rsid w:val="00144A16"/>
    <w:rsid w:val="001802A7"/>
    <w:rsid w:val="00181C02"/>
    <w:rsid w:val="00185E71"/>
    <w:rsid w:val="001A4EB9"/>
    <w:rsid w:val="001E000A"/>
    <w:rsid w:val="001F73BC"/>
    <w:rsid w:val="00205BB1"/>
    <w:rsid w:val="00215285"/>
    <w:rsid w:val="0022716F"/>
    <w:rsid w:val="00240CBA"/>
    <w:rsid w:val="00260F2B"/>
    <w:rsid w:val="00262437"/>
    <w:rsid w:val="0028382F"/>
    <w:rsid w:val="00323747"/>
    <w:rsid w:val="00347F17"/>
    <w:rsid w:val="003A6F04"/>
    <w:rsid w:val="003C247E"/>
    <w:rsid w:val="003D3119"/>
    <w:rsid w:val="00412F54"/>
    <w:rsid w:val="004350BE"/>
    <w:rsid w:val="00442E7C"/>
    <w:rsid w:val="004734B2"/>
    <w:rsid w:val="0047392D"/>
    <w:rsid w:val="00487684"/>
    <w:rsid w:val="00493F24"/>
    <w:rsid w:val="004B2926"/>
    <w:rsid w:val="004B2C7E"/>
    <w:rsid w:val="004B611E"/>
    <w:rsid w:val="004C5532"/>
    <w:rsid w:val="004D56CE"/>
    <w:rsid w:val="004E0634"/>
    <w:rsid w:val="00524F46"/>
    <w:rsid w:val="00525DA8"/>
    <w:rsid w:val="005448C9"/>
    <w:rsid w:val="00561ABC"/>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91247"/>
    <w:rsid w:val="008D14A3"/>
    <w:rsid w:val="008D1A8D"/>
    <w:rsid w:val="0092116D"/>
    <w:rsid w:val="00934553"/>
    <w:rsid w:val="00954B7B"/>
    <w:rsid w:val="00955533"/>
    <w:rsid w:val="0095644F"/>
    <w:rsid w:val="009808F9"/>
    <w:rsid w:val="00982095"/>
    <w:rsid w:val="00982258"/>
    <w:rsid w:val="0098580C"/>
    <w:rsid w:val="009B1313"/>
    <w:rsid w:val="009B266D"/>
    <w:rsid w:val="009B501F"/>
    <w:rsid w:val="009C73EE"/>
    <w:rsid w:val="009E37B3"/>
    <w:rsid w:val="009E5A16"/>
    <w:rsid w:val="009F6360"/>
    <w:rsid w:val="009F7F1C"/>
    <w:rsid w:val="00A36876"/>
    <w:rsid w:val="00A47E54"/>
    <w:rsid w:val="00A53D50"/>
    <w:rsid w:val="00A7508A"/>
    <w:rsid w:val="00A77641"/>
    <w:rsid w:val="00AA4BAE"/>
    <w:rsid w:val="00B02424"/>
    <w:rsid w:val="00B21438"/>
    <w:rsid w:val="00B3363C"/>
    <w:rsid w:val="00B403AA"/>
    <w:rsid w:val="00B42308"/>
    <w:rsid w:val="00B46A26"/>
    <w:rsid w:val="00B5155A"/>
    <w:rsid w:val="00B63162"/>
    <w:rsid w:val="00B73805"/>
    <w:rsid w:val="00B8651E"/>
    <w:rsid w:val="00B95EDA"/>
    <w:rsid w:val="00BC24D2"/>
    <w:rsid w:val="00BF3E8A"/>
    <w:rsid w:val="00C0524E"/>
    <w:rsid w:val="00C27DC1"/>
    <w:rsid w:val="00C34BE2"/>
    <w:rsid w:val="00C473E0"/>
    <w:rsid w:val="00C6471D"/>
    <w:rsid w:val="00C735FF"/>
    <w:rsid w:val="00C85287"/>
    <w:rsid w:val="00CD7176"/>
    <w:rsid w:val="00CF24D7"/>
    <w:rsid w:val="00D000E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E41D9"/>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 w:type="character" w:styleId="UnresolvedMention">
    <w:name w:val="Unresolved Mention"/>
    <w:basedOn w:val="DefaultParagraphFont"/>
    <w:uiPriority w:val="99"/>
    <w:rsid w:val="00FE41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016/j.jth.2019.03.004"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109/ACCESS.2024.348878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287/trsc.2014.057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109/CICTN64563.2025.1093257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45/2631775.2631799" TargetMode="External"/><Relationship Id="rId20" Type="http://schemas.openxmlformats.org/officeDocument/2006/relationships/image" Target="media/image11.png"/><Relationship Id="rId41" Type="http://schemas.openxmlformats.org/officeDocument/2006/relationships/hyperlink" Target="https://doi.org/10.1111/mice.124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26</Pages>
  <Words>8252</Words>
  <Characters>47041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D24126048 Shalini Kuruguntla</cp:lastModifiedBy>
  <cp:revision>96</cp:revision>
  <dcterms:created xsi:type="dcterms:W3CDTF">2025-10-18T12:57:00Z</dcterms:created>
  <dcterms:modified xsi:type="dcterms:W3CDTF">2025-10-23T15:47:00Z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